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97" w:rsidRPr="00477B0E" w:rsidRDefault="00741597" w:rsidP="00547962">
      <w:pPr>
        <w:ind w:right="-1"/>
        <w:jc w:val="right"/>
        <w:rPr>
          <w:rFonts w:asciiTheme="minorEastAsia" w:eastAsiaTheme="minorEastAsia" w:hAnsiTheme="minorEastAsia"/>
        </w:rPr>
      </w:pPr>
      <w:r w:rsidRPr="00477B0E">
        <w:rPr>
          <w:rFonts w:asciiTheme="minorEastAsia" w:eastAsiaTheme="minorEastAsia" w:hAnsiTheme="minorEastAsia" w:hint="eastAsia"/>
        </w:rPr>
        <w:t>平成　　年　　月　　日</w:t>
      </w:r>
    </w:p>
    <w:p w:rsidR="00D10494" w:rsidRDefault="00D10494" w:rsidP="00D10494">
      <w:pPr>
        <w:jc w:val="center"/>
        <w:rPr>
          <w:rFonts w:asciiTheme="minorEastAsia" w:eastAsiaTheme="minorEastAsia" w:hAnsiTheme="minorEastAsia" w:hint="eastAsia"/>
        </w:rPr>
      </w:pPr>
    </w:p>
    <w:p w:rsidR="00D10494" w:rsidRPr="00D10494" w:rsidRDefault="00D10494" w:rsidP="00D10494">
      <w:pPr>
        <w:jc w:val="center"/>
        <w:rPr>
          <w:rFonts w:asciiTheme="majorEastAsia" w:eastAsiaTheme="majorEastAsia" w:hAnsiTheme="majorEastAsia"/>
        </w:rPr>
      </w:pPr>
      <w:r w:rsidRPr="00D10494">
        <w:rPr>
          <w:rFonts w:asciiTheme="majorEastAsia" w:eastAsiaTheme="majorEastAsia" w:hAnsiTheme="majorEastAsia" w:hint="eastAsia"/>
        </w:rPr>
        <w:t>契約相手方の条件に関する確約書</w:t>
      </w:r>
    </w:p>
    <w:p w:rsidR="00D10494" w:rsidRPr="00D10494" w:rsidRDefault="00D10494" w:rsidP="00741597">
      <w:pPr>
        <w:rPr>
          <w:rFonts w:asciiTheme="minorEastAsia" w:eastAsiaTheme="minorEastAsia" w:hAnsiTheme="minorEastAsia" w:hint="eastAsia"/>
        </w:rPr>
      </w:pPr>
    </w:p>
    <w:p w:rsidR="00F4474A" w:rsidRPr="00477B0E" w:rsidRDefault="00405E98" w:rsidP="00741597">
      <w:pPr>
        <w:rPr>
          <w:rFonts w:asciiTheme="minorEastAsia" w:eastAsiaTheme="minorEastAsia" w:hAnsiTheme="minorEastAsia"/>
        </w:rPr>
      </w:pPr>
      <w:r w:rsidRPr="00477B0E">
        <w:rPr>
          <w:rFonts w:asciiTheme="minorEastAsia" w:eastAsiaTheme="minorEastAsia" w:hAnsiTheme="minorEastAsia" w:hint="eastAsia"/>
        </w:rPr>
        <w:t>川崎市長あて</w:t>
      </w:r>
    </w:p>
    <w:p w:rsidR="00405E98" w:rsidRDefault="00405E98" w:rsidP="00D10494">
      <w:pPr>
        <w:jc w:val="left"/>
        <w:rPr>
          <w:rFonts w:asciiTheme="minorEastAsia" w:eastAsiaTheme="minorEastAsia" w:hAnsiTheme="minorEastAsia" w:hint="eastAsia"/>
        </w:rPr>
      </w:pPr>
    </w:p>
    <w:p w:rsidR="00D10494" w:rsidRPr="00D10494" w:rsidRDefault="00D10494" w:rsidP="00D10494">
      <w:pPr>
        <w:ind w:firstLineChars="1600" w:firstLine="3840"/>
        <w:jc w:val="left"/>
        <w:rPr>
          <w:rFonts w:asciiTheme="minorEastAsia" w:eastAsiaTheme="minorEastAsia" w:hAnsiTheme="minorEastAsia" w:hint="eastAsia"/>
        </w:rPr>
      </w:pPr>
      <w:r>
        <w:rPr>
          <w:rFonts w:asciiTheme="minorEastAsia" w:eastAsiaTheme="minorEastAsia" w:hAnsiTheme="minorEastAsia" w:hint="eastAsia"/>
        </w:rPr>
        <w:t>法人等名称</w:t>
      </w:r>
    </w:p>
    <w:p w:rsidR="00D10494" w:rsidRDefault="00D10494" w:rsidP="00D10494">
      <w:pPr>
        <w:rPr>
          <w:rFonts w:asciiTheme="minorEastAsia" w:eastAsiaTheme="minorEastAsia" w:hAnsiTheme="minorEastAsia" w:hint="eastAsia"/>
          <w:sz w:val="22"/>
          <w:szCs w:val="22"/>
        </w:rPr>
      </w:pPr>
    </w:p>
    <w:p w:rsidR="00D10494" w:rsidRDefault="00D10494" w:rsidP="00D10494">
      <w:pPr>
        <w:ind w:firstLineChars="800" w:firstLine="3840"/>
        <w:jc w:val="left"/>
        <w:rPr>
          <w:rFonts w:asciiTheme="minorEastAsia" w:eastAsiaTheme="minorEastAsia" w:hAnsiTheme="minorEastAsia" w:hint="eastAsia"/>
        </w:rPr>
      </w:pPr>
      <w:r w:rsidRPr="00D10494">
        <w:rPr>
          <w:rFonts w:hint="eastAsia"/>
          <w:spacing w:val="120"/>
          <w:kern w:val="0"/>
          <w:fitText w:val="1200" w:id="1131719168"/>
        </w:rPr>
        <w:t>所在</w:t>
      </w:r>
      <w:r w:rsidRPr="00D10494">
        <w:rPr>
          <w:rFonts w:hint="eastAsia"/>
          <w:kern w:val="0"/>
          <w:fitText w:val="1200" w:id="1131719168"/>
        </w:rPr>
        <w:t>地</w:t>
      </w:r>
    </w:p>
    <w:p w:rsidR="00D10494" w:rsidRDefault="00D10494" w:rsidP="00D10494">
      <w:pPr>
        <w:ind w:firstLineChars="1600" w:firstLine="3840"/>
        <w:jc w:val="left"/>
        <w:rPr>
          <w:rFonts w:asciiTheme="minorEastAsia" w:eastAsiaTheme="minorEastAsia" w:hAnsiTheme="minorEastAsia" w:hint="eastAsia"/>
        </w:rPr>
      </w:pPr>
    </w:p>
    <w:p w:rsidR="00D10494" w:rsidRPr="00477B0E" w:rsidRDefault="00D10494" w:rsidP="00D10494">
      <w:pPr>
        <w:ind w:firstLineChars="1600" w:firstLine="3840"/>
        <w:jc w:val="left"/>
        <w:rPr>
          <w:rFonts w:asciiTheme="minorEastAsia" w:eastAsiaTheme="minorEastAsia" w:hAnsiTheme="minorEastAsia"/>
        </w:rPr>
      </w:pPr>
      <w:bookmarkStart w:id="0" w:name="_GoBack"/>
      <w:bookmarkEnd w:id="0"/>
      <w:r>
        <w:rPr>
          <w:rFonts w:asciiTheme="minorEastAsia" w:eastAsiaTheme="minorEastAsia" w:hAnsiTheme="minorEastAsia" w:hint="eastAsia"/>
        </w:rPr>
        <w:t>代表者氏名</w:t>
      </w:r>
      <w:r w:rsidRPr="002265EC">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2265EC">
        <w:rPr>
          <w:rFonts w:asciiTheme="minorEastAsia" w:eastAsiaTheme="minorEastAsia" w:hAnsiTheme="minorEastAsia"/>
          <w:sz w:val="20"/>
        </w:rPr>
        <w:fldChar w:fldCharType="begin"/>
      </w:r>
      <w:r w:rsidRPr="002265EC">
        <w:rPr>
          <w:rFonts w:asciiTheme="minorEastAsia" w:eastAsiaTheme="minorEastAsia" w:hAnsiTheme="minorEastAsia"/>
          <w:sz w:val="20"/>
        </w:rPr>
        <w:instrText xml:space="preserve"> </w:instrText>
      </w:r>
      <w:r w:rsidRPr="002265EC">
        <w:rPr>
          <w:rFonts w:asciiTheme="minorEastAsia" w:eastAsiaTheme="minorEastAsia" w:hAnsiTheme="minorEastAsia" w:hint="eastAsia"/>
          <w:sz w:val="20"/>
        </w:rPr>
        <w:instrText>eq \o\ac(○,</w:instrText>
      </w:r>
      <w:r w:rsidRPr="002265EC">
        <w:rPr>
          <w:rFonts w:asciiTheme="minorEastAsia" w:eastAsiaTheme="minorEastAsia" w:hAnsiTheme="minorEastAsia" w:hint="eastAsia"/>
          <w:position w:val="2"/>
          <w:sz w:val="14"/>
        </w:rPr>
        <w:instrText>印</w:instrText>
      </w:r>
      <w:r w:rsidRPr="002265EC">
        <w:rPr>
          <w:rFonts w:asciiTheme="minorEastAsia" w:eastAsiaTheme="minorEastAsia" w:hAnsiTheme="minorEastAsia" w:hint="eastAsia"/>
          <w:sz w:val="20"/>
        </w:rPr>
        <w:instrText>)</w:instrText>
      </w:r>
      <w:r w:rsidRPr="002265EC">
        <w:rPr>
          <w:rFonts w:asciiTheme="minorEastAsia" w:eastAsiaTheme="minorEastAsia" w:hAnsiTheme="minorEastAsia"/>
          <w:sz w:val="20"/>
        </w:rPr>
        <w:fldChar w:fldCharType="end"/>
      </w:r>
      <w:r w:rsidRPr="002265EC">
        <w:rPr>
          <w:rFonts w:asciiTheme="minorEastAsia" w:eastAsiaTheme="minorEastAsia" w:hAnsiTheme="minorEastAsia" w:hint="eastAsia"/>
          <w:sz w:val="21"/>
          <w:szCs w:val="21"/>
        </w:rPr>
        <w:t xml:space="preserve">　</w:t>
      </w:r>
    </w:p>
    <w:p w:rsidR="00D541D6" w:rsidRPr="00D10494" w:rsidRDefault="00D541D6" w:rsidP="00D10494">
      <w:pPr>
        <w:jc w:val="left"/>
        <w:rPr>
          <w:rFonts w:asciiTheme="minorEastAsia" w:eastAsiaTheme="minorEastAsia" w:hAnsiTheme="minorEastAsia"/>
        </w:rPr>
      </w:pPr>
    </w:p>
    <w:p w:rsidR="00D10494" w:rsidRDefault="00D10494" w:rsidP="00D10494">
      <w:pPr>
        <w:ind w:firstLineChars="100" w:firstLine="240"/>
        <w:rPr>
          <w:rFonts w:asciiTheme="minorEastAsia" w:eastAsiaTheme="minorEastAsia" w:hAnsiTheme="minorEastAsia" w:hint="eastAsia"/>
        </w:rPr>
      </w:pPr>
      <w:r>
        <w:rPr>
          <w:rFonts w:asciiTheme="minorEastAsia" w:eastAsiaTheme="minorEastAsia" w:hAnsiTheme="minorEastAsia" w:hint="eastAsia"/>
        </w:rPr>
        <w:t>川崎市横断歩道橋（連絡通路）ネーミングライツパートナーの申込にあたり、川崎市広告掲載基準第３条に該当しないことを確約</w:t>
      </w:r>
      <w:r w:rsidR="00D541D6" w:rsidRPr="00477B0E">
        <w:rPr>
          <w:rFonts w:asciiTheme="minorEastAsia" w:eastAsiaTheme="minorEastAsia" w:hAnsiTheme="minorEastAsia" w:hint="eastAsia"/>
        </w:rPr>
        <w:t>します。</w:t>
      </w:r>
    </w:p>
    <w:p w:rsidR="00D541D6" w:rsidRPr="00D10494" w:rsidRDefault="00010427" w:rsidP="00D10494">
      <w:pPr>
        <w:ind w:firstLineChars="100" w:firstLine="240"/>
        <w:rPr>
          <w:rFonts w:asciiTheme="minorEastAsia" w:eastAsiaTheme="minorEastAsia" w:hAnsiTheme="minorEastAsia"/>
        </w:rPr>
      </w:pPr>
      <w:r w:rsidRPr="00477B0E">
        <w:rPr>
          <w:rFonts w:asciiTheme="minorEastAsia" w:eastAsiaTheme="minorEastAsia" w:hAnsiTheme="minorEastAsia" w:hint="eastAsia"/>
          <w:noProof/>
          <w:kern w:val="0"/>
        </w:rPr>
        <mc:AlternateContent>
          <mc:Choice Requires="wps">
            <w:drawing>
              <wp:anchor distT="0" distB="0" distL="114300" distR="114300" simplePos="0" relativeHeight="251659264" behindDoc="0" locked="0" layoutInCell="1" allowOverlap="1" wp14:anchorId="0ADC0D52" wp14:editId="36F7C39A">
                <wp:simplePos x="0" y="0"/>
                <wp:positionH relativeFrom="column">
                  <wp:posOffset>-13335</wp:posOffset>
                </wp:positionH>
                <wp:positionV relativeFrom="paragraph">
                  <wp:posOffset>155737</wp:posOffset>
                </wp:positionV>
                <wp:extent cx="5419725" cy="5495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419725" cy="5495925"/>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0427" w:rsidRPr="00010427" w:rsidRDefault="00010427" w:rsidP="00D10494">
                            <w:pPr>
                              <w:spacing w:afterLines="50" w:after="180"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川崎市広告掲載基準（抜粋）</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(広告掲載することができない業種又は業者)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第３条 次に掲げる業種又は業者の広告は、掲載しないものとする。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(１) 風俗営業等の規制及び業務の適正化等に関する法律(昭和２３年法律第１２２号)第２条第１項の規定により風俗営業と規定されている業種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(２) 風俗営業類似の業種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(３) 暴力団員による不当な行為の防止等に関する法律（平成３年法律第７７号）に規定する暴力団その他反社会的団体又はそれらに関連すると認めるに足りる相当の理由のある事業者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(４) たばこその他市民の健康上、好ましくないと思われるもの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(５) ギャンブル(公営競技及び宝くじを除く。)に係るもの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(６) 医療、医薬品、化粧品等の広告で医療法(昭和２３年法律第２０５号)、薬事法（昭和３５年法律第１４５号）等に抵触するもの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(７) 法律の定めのない医療類似行為を行う施設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(８) 消費者金融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(９) 債権の取立て、示談の引受け等を業とするもの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(10) 商品先物取引に関するもの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(11) 占い、運勢判断に関するもの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(12) 興信所、探偵事務所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(13) 結婚相談、交際紹介等を業とするもの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(14) 各種法令に違反しているもの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(15) 民事再生法（平成１１年法律第２２５号）、会社更生法(平成１４年法律第１５４号)による再生又は更生の手続中の事業者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(16) 法令等に基づく必要な許可等を受けることなく業を行うもの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(17) 行政機関からの行政指導を受け、改善がなされていないもの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(18) インターネット異性紹介事業を利用して児童を誘引する行為の規制等に関する法律（平成１５年法律第８３号）に規定するインターネット異性紹介事業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(19) 医業、歯科医業、助産師の業務、あん摩業、マッサージ業、指圧業、はり業、きゅう業又は柔道整復業。ただし、本市ホームページのバナー広告に限る。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(20) 規制対象となっていない業種においても、社会問題を起こしている業種又は事業者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(21) 川崎市競争入札参加資格者指名停止等要綱に基づく指名停止を受けている事業者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(22) 本市の市税を滞納している事業者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(23) その他広告として掲載することが不適当であると認められるもの</w:t>
                            </w:r>
                          </w:p>
                          <w:p w:rsidR="00010427" w:rsidRPr="00010427" w:rsidRDefault="000104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12.25pt;width:426.75pt;height:43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" fillcolor="white [3201]" strokeweight=".25pt">
                <v:textbox>
                  <w:txbxContent>
                    <w:p w:rsidR="00010427" w:rsidRPr="00010427" w:rsidRDefault="00010427" w:rsidP="00D10494">
                      <w:pPr>
                        <w:spacing w:afterLines="50" w:after="180"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川崎市広告掲載基準（抜粋）</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(広告掲載することができない業種又は業者)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第３条 次に掲げる業種又は業者の広告は、掲載しないものとする。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(１) 風俗営業等の規制及び業務の適正化等に関する法律(昭和２３年法律第１２２号)第２条第１項の規定により風俗営業と規定されている業種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(２) 風俗営業類似の業種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(３) 暴力団員による不当な行為の防止等に関する法律（平成３年法律第７７号）に規定する暴力団その他反社会的団体又はそれらに関連すると認めるに足りる相当の理由のある事業者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(４) たばこその他市民の健康上、好ましくないと思われるもの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(５) ギャンブル(公営競技及び宝くじを除く。)に係るもの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(６) 医療、医薬品、化粧品等の広告で医療法(昭和２３年法律第２０５号)、薬事法（昭和３５年法律第１４５号）等に抵触するもの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(７) 法律の定めのない医療類似行為を行う施設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(８) 消費者金融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(９) 債権の取立て、示談の引受け等を業とするもの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(10) 商品先物取引に関するもの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(11) 占い、運勢判断に関するもの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(12) 興信所、探偵事務所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(13) 結婚相談、交際紹介等を業とするもの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(14) 各種法令に違反しているもの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(15) 民事再生法（平成１１年法律第２２５号）、会社更生法(平成１４年法律第１５４号)による再生又は更生の手続中の事業者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(16) 法令等に基づく必要な許可等を受けることなく業を行うもの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(17) 行政機関からの行政指導を受け、改善がなされていないもの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(18) インターネット異性紹介事業を利用して児童を誘引する行為の規制等に関する法律（平成１５年法律第８３号）に規定するインターネット異性紹介事業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(19) 医業、歯科医業、助産師の業務、あん摩業、マッサージ業、指圧業、はり業、きゅう業又は柔道整復業。ただし、本市ホームページのバナー広告に限る。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(20) 規制対象となっていない業種においても、社会問題を起こしている業種又は事業者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(21) 川崎市競争入札参加資格者指名停止等要綱に基づく指名停止を受けている事業者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 xml:space="preserve">(22) 本市の市税を滞納している事業者 </w:t>
                      </w:r>
                    </w:p>
                    <w:p w:rsidR="00010427" w:rsidRPr="00010427" w:rsidRDefault="00010427" w:rsidP="00D10494">
                      <w:pPr>
                        <w:spacing w:line="260" w:lineRule="exact"/>
                        <w:ind w:rightChars="5" w:right="12"/>
                        <w:rPr>
                          <w:rFonts w:asciiTheme="minorEastAsia" w:eastAsiaTheme="minorEastAsia" w:hAnsiTheme="minorEastAsia"/>
                          <w:sz w:val="18"/>
                          <w:szCs w:val="21"/>
                        </w:rPr>
                      </w:pPr>
                      <w:r w:rsidRPr="00010427">
                        <w:rPr>
                          <w:rFonts w:asciiTheme="minorEastAsia" w:eastAsiaTheme="minorEastAsia" w:hAnsiTheme="minorEastAsia" w:hint="eastAsia"/>
                          <w:sz w:val="18"/>
                          <w:szCs w:val="21"/>
                        </w:rPr>
                        <w:t>(23) その他広告として掲載することが不適当であると認められるもの</w:t>
                      </w:r>
                    </w:p>
                    <w:p w:rsidR="00010427" w:rsidRPr="00010427" w:rsidRDefault="00010427"/>
                  </w:txbxContent>
                </v:textbox>
              </v:shape>
            </w:pict>
          </mc:Fallback>
        </mc:AlternateContent>
      </w:r>
    </w:p>
    <w:sectPr w:rsidR="00D541D6" w:rsidRPr="00D10494" w:rsidSect="00D10494">
      <w:headerReference w:type="default" r:id="rId8"/>
      <w:pgSz w:w="11906" w:h="16838" w:code="9"/>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75" w:rsidRDefault="00486A75" w:rsidP="00E45762">
      <w:r>
        <w:separator/>
      </w:r>
    </w:p>
  </w:endnote>
  <w:endnote w:type="continuationSeparator" w:id="0">
    <w:p w:rsidR="00486A75" w:rsidRDefault="00486A75" w:rsidP="00E4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75" w:rsidRDefault="00486A75" w:rsidP="00E45762">
      <w:r>
        <w:separator/>
      </w:r>
    </w:p>
  </w:footnote>
  <w:footnote w:type="continuationSeparator" w:id="0">
    <w:p w:rsidR="00486A75" w:rsidRDefault="00486A75" w:rsidP="00E45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A75" w:rsidRDefault="00486A75">
    <w:pPr>
      <w:pStyle w:val="a5"/>
    </w:pPr>
    <w:r>
      <w:rPr>
        <w:rFonts w:hint="eastAsia"/>
      </w:rPr>
      <w:t>【様式２】</w:t>
    </w:r>
  </w:p>
  <w:p w:rsidR="00486A75" w:rsidRDefault="00486A7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73"/>
    <w:rsid w:val="00000E7A"/>
    <w:rsid w:val="00006A41"/>
    <w:rsid w:val="00010427"/>
    <w:rsid w:val="000A2132"/>
    <w:rsid w:val="000A3254"/>
    <w:rsid w:val="000D0273"/>
    <w:rsid w:val="001766CE"/>
    <w:rsid w:val="002265EC"/>
    <w:rsid w:val="003829C5"/>
    <w:rsid w:val="00393F4E"/>
    <w:rsid w:val="003A00EF"/>
    <w:rsid w:val="003A0A2A"/>
    <w:rsid w:val="003F3A77"/>
    <w:rsid w:val="00405E98"/>
    <w:rsid w:val="00477B0E"/>
    <w:rsid w:val="00486A75"/>
    <w:rsid w:val="004B68E2"/>
    <w:rsid w:val="0050611C"/>
    <w:rsid w:val="00511EBD"/>
    <w:rsid w:val="00526E8E"/>
    <w:rsid w:val="00547962"/>
    <w:rsid w:val="005D0C4E"/>
    <w:rsid w:val="0061702D"/>
    <w:rsid w:val="0062607B"/>
    <w:rsid w:val="0070778D"/>
    <w:rsid w:val="00741597"/>
    <w:rsid w:val="007D5E93"/>
    <w:rsid w:val="00806FE0"/>
    <w:rsid w:val="00833C7B"/>
    <w:rsid w:val="009D27F2"/>
    <w:rsid w:val="00B14BE9"/>
    <w:rsid w:val="00B51A0A"/>
    <w:rsid w:val="00BA3932"/>
    <w:rsid w:val="00BD2B58"/>
    <w:rsid w:val="00C07DEB"/>
    <w:rsid w:val="00C35B06"/>
    <w:rsid w:val="00CA3CD1"/>
    <w:rsid w:val="00CE1FB5"/>
    <w:rsid w:val="00D10494"/>
    <w:rsid w:val="00D4753F"/>
    <w:rsid w:val="00D541D6"/>
    <w:rsid w:val="00DC566A"/>
    <w:rsid w:val="00DE34A3"/>
    <w:rsid w:val="00E4278B"/>
    <w:rsid w:val="00E45762"/>
    <w:rsid w:val="00EC5672"/>
    <w:rsid w:val="00EF57D7"/>
    <w:rsid w:val="00F4474A"/>
    <w:rsid w:val="00F66E87"/>
    <w:rsid w:val="00FB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1D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2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11EBD"/>
    <w:rPr>
      <w:color w:val="0000FF"/>
      <w:u w:val="single"/>
    </w:rPr>
  </w:style>
  <w:style w:type="paragraph" w:styleId="a5">
    <w:name w:val="header"/>
    <w:basedOn w:val="a"/>
    <w:link w:val="a6"/>
    <w:uiPriority w:val="99"/>
    <w:rsid w:val="00E45762"/>
    <w:pPr>
      <w:tabs>
        <w:tab w:val="center" w:pos="4252"/>
        <w:tab w:val="right" w:pos="8504"/>
      </w:tabs>
      <w:snapToGrid w:val="0"/>
    </w:pPr>
  </w:style>
  <w:style w:type="character" w:customStyle="1" w:styleId="a6">
    <w:name w:val="ヘッダー (文字)"/>
    <w:link w:val="a5"/>
    <w:uiPriority w:val="99"/>
    <w:rsid w:val="00E45762"/>
    <w:rPr>
      <w:kern w:val="2"/>
      <w:sz w:val="24"/>
      <w:szCs w:val="24"/>
    </w:rPr>
  </w:style>
  <w:style w:type="paragraph" w:styleId="a7">
    <w:name w:val="footer"/>
    <w:basedOn w:val="a"/>
    <w:link w:val="a8"/>
    <w:rsid w:val="00E45762"/>
    <w:pPr>
      <w:tabs>
        <w:tab w:val="center" w:pos="4252"/>
        <w:tab w:val="right" w:pos="8504"/>
      </w:tabs>
      <w:snapToGrid w:val="0"/>
    </w:pPr>
  </w:style>
  <w:style w:type="character" w:customStyle="1" w:styleId="a8">
    <w:name w:val="フッター (文字)"/>
    <w:link w:val="a7"/>
    <w:rsid w:val="00E45762"/>
    <w:rPr>
      <w:kern w:val="2"/>
      <w:sz w:val="24"/>
      <w:szCs w:val="24"/>
    </w:rPr>
  </w:style>
  <w:style w:type="paragraph" w:styleId="a9">
    <w:name w:val="Balloon Text"/>
    <w:basedOn w:val="a"/>
    <w:link w:val="aa"/>
    <w:rsid w:val="00D4753F"/>
    <w:rPr>
      <w:rFonts w:ascii="Arial" w:eastAsia="ＭＳ ゴシック" w:hAnsi="Arial"/>
      <w:sz w:val="18"/>
      <w:szCs w:val="18"/>
    </w:rPr>
  </w:style>
  <w:style w:type="character" w:customStyle="1" w:styleId="aa">
    <w:name w:val="吹き出し (文字)"/>
    <w:link w:val="a9"/>
    <w:rsid w:val="00D4753F"/>
    <w:rPr>
      <w:rFonts w:ascii="Arial" w:eastAsia="ＭＳ ゴシック" w:hAnsi="Arial" w:cs="Times New Roman"/>
      <w:kern w:val="2"/>
      <w:sz w:val="18"/>
      <w:szCs w:val="18"/>
    </w:rPr>
  </w:style>
  <w:style w:type="paragraph" w:customStyle="1" w:styleId="Default">
    <w:name w:val="Default"/>
    <w:rsid w:val="00E4278B"/>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1D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02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11EBD"/>
    <w:rPr>
      <w:color w:val="0000FF"/>
      <w:u w:val="single"/>
    </w:rPr>
  </w:style>
  <w:style w:type="paragraph" w:styleId="a5">
    <w:name w:val="header"/>
    <w:basedOn w:val="a"/>
    <w:link w:val="a6"/>
    <w:uiPriority w:val="99"/>
    <w:rsid w:val="00E45762"/>
    <w:pPr>
      <w:tabs>
        <w:tab w:val="center" w:pos="4252"/>
        <w:tab w:val="right" w:pos="8504"/>
      </w:tabs>
      <w:snapToGrid w:val="0"/>
    </w:pPr>
  </w:style>
  <w:style w:type="character" w:customStyle="1" w:styleId="a6">
    <w:name w:val="ヘッダー (文字)"/>
    <w:link w:val="a5"/>
    <w:uiPriority w:val="99"/>
    <w:rsid w:val="00E45762"/>
    <w:rPr>
      <w:kern w:val="2"/>
      <w:sz w:val="24"/>
      <w:szCs w:val="24"/>
    </w:rPr>
  </w:style>
  <w:style w:type="paragraph" w:styleId="a7">
    <w:name w:val="footer"/>
    <w:basedOn w:val="a"/>
    <w:link w:val="a8"/>
    <w:rsid w:val="00E45762"/>
    <w:pPr>
      <w:tabs>
        <w:tab w:val="center" w:pos="4252"/>
        <w:tab w:val="right" w:pos="8504"/>
      </w:tabs>
      <w:snapToGrid w:val="0"/>
    </w:pPr>
  </w:style>
  <w:style w:type="character" w:customStyle="1" w:styleId="a8">
    <w:name w:val="フッター (文字)"/>
    <w:link w:val="a7"/>
    <w:rsid w:val="00E45762"/>
    <w:rPr>
      <w:kern w:val="2"/>
      <w:sz w:val="24"/>
      <w:szCs w:val="24"/>
    </w:rPr>
  </w:style>
  <w:style w:type="paragraph" w:styleId="a9">
    <w:name w:val="Balloon Text"/>
    <w:basedOn w:val="a"/>
    <w:link w:val="aa"/>
    <w:rsid w:val="00D4753F"/>
    <w:rPr>
      <w:rFonts w:ascii="Arial" w:eastAsia="ＭＳ ゴシック" w:hAnsi="Arial"/>
      <w:sz w:val="18"/>
      <w:szCs w:val="18"/>
    </w:rPr>
  </w:style>
  <w:style w:type="character" w:customStyle="1" w:styleId="aa">
    <w:name w:val="吹き出し (文字)"/>
    <w:link w:val="a9"/>
    <w:rsid w:val="00D4753F"/>
    <w:rPr>
      <w:rFonts w:ascii="Arial" w:eastAsia="ＭＳ ゴシック" w:hAnsi="Arial" w:cs="Times New Roman"/>
      <w:kern w:val="2"/>
      <w:sz w:val="18"/>
      <w:szCs w:val="18"/>
    </w:rPr>
  </w:style>
  <w:style w:type="paragraph" w:customStyle="1" w:styleId="Default">
    <w:name w:val="Default"/>
    <w:rsid w:val="00E4278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DCB5-EE71-4033-8CA6-712C06CCE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103</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川崎市役所</cp:lastModifiedBy>
  <cp:revision>6</cp:revision>
  <cp:lastPrinted>2016-03-14T04:19:00Z</cp:lastPrinted>
  <dcterms:created xsi:type="dcterms:W3CDTF">2016-03-14T02:21:00Z</dcterms:created>
  <dcterms:modified xsi:type="dcterms:W3CDTF">2016-03-14T09:43:00Z</dcterms:modified>
</cp:coreProperties>
</file>